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32C6" w14:textId="17E691C9" w:rsidR="008D646B" w:rsidRPr="008D646B" w:rsidRDefault="008D646B" w:rsidP="008D646B">
      <w:pPr>
        <w:rPr>
          <w:b/>
          <w:bCs/>
          <w:sz w:val="24"/>
          <w:szCs w:val="24"/>
        </w:rPr>
      </w:pPr>
      <w:r w:rsidRPr="008D646B">
        <w:rPr>
          <w:sz w:val="24"/>
          <w:szCs w:val="24"/>
        </w:rPr>
        <w:t>Item 8</w:t>
      </w:r>
      <w:r w:rsidR="00E67651">
        <w:rPr>
          <w:sz w:val="24"/>
          <w:szCs w:val="24"/>
        </w:rPr>
        <w:t>(b)</w:t>
      </w:r>
      <w:r w:rsidRPr="008D646B">
        <w:rPr>
          <w:sz w:val="24"/>
          <w:szCs w:val="24"/>
        </w:rPr>
        <w:t xml:space="preserve">: </w:t>
      </w:r>
      <w:r w:rsidRPr="008D646B">
        <w:rPr>
          <w:b/>
          <w:bCs/>
          <w:sz w:val="24"/>
          <w:szCs w:val="24"/>
        </w:rPr>
        <w:t xml:space="preserve">Action Plan – </w:t>
      </w:r>
      <w:r w:rsidR="008062BF">
        <w:rPr>
          <w:b/>
          <w:bCs/>
          <w:sz w:val="24"/>
          <w:szCs w:val="24"/>
        </w:rPr>
        <w:t>Draft r</w:t>
      </w:r>
      <w:r w:rsidRPr="008D646B">
        <w:rPr>
          <w:b/>
          <w:bCs/>
          <w:sz w:val="24"/>
          <w:szCs w:val="24"/>
        </w:rPr>
        <w:t>esponse to Recommendations in MCC Governance Review of MDC</w:t>
      </w:r>
    </w:p>
    <w:p w14:paraId="13A7B832" w14:textId="77777777" w:rsidR="008D646B" w:rsidRDefault="008D646B"/>
    <w:tbl>
      <w:tblPr>
        <w:tblStyle w:val="TableGrid"/>
        <w:tblW w:w="0" w:type="auto"/>
        <w:tblLook w:val="04A0" w:firstRow="1" w:lastRow="0" w:firstColumn="1" w:lastColumn="0" w:noHBand="0" w:noVBand="1"/>
      </w:tblPr>
      <w:tblGrid>
        <w:gridCol w:w="4649"/>
        <w:gridCol w:w="4649"/>
        <w:gridCol w:w="4650"/>
      </w:tblGrid>
      <w:tr w:rsidR="008D646B" w14:paraId="3436C021" w14:textId="77777777" w:rsidTr="00FB077D">
        <w:tc>
          <w:tcPr>
            <w:tcW w:w="4649" w:type="dxa"/>
          </w:tcPr>
          <w:p w14:paraId="1F27750A" w14:textId="77777777" w:rsidR="008D646B" w:rsidRDefault="008D646B" w:rsidP="00FB077D">
            <w:pPr>
              <w:rPr>
                <w:b/>
                <w:bCs/>
              </w:rPr>
            </w:pPr>
          </w:p>
          <w:p w14:paraId="47C1BC20" w14:textId="77777777" w:rsidR="008D646B" w:rsidRDefault="008D646B" w:rsidP="00FB077D">
            <w:pPr>
              <w:rPr>
                <w:b/>
                <w:bCs/>
              </w:rPr>
            </w:pPr>
            <w:r w:rsidRPr="00570CD8">
              <w:rPr>
                <w:b/>
                <w:bCs/>
              </w:rPr>
              <w:t>Recommendation</w:t>
            </w:r>
          </w:p>
          <w:p w14:paraId="6E5AFA01" w14:textId="77777777" w:rsidR="008D646B" w:rsidRPr="00570CD8" w:rsidRDefault="008D646B" w:rsidP="00FB077D">
            <w:pPr>
              <w:rPr>
                <w:b/>
                <w:bCs/>
              </w:rPr>
            </w:pPr>
          </w:p>
        </w:tc>
        <w:tc>
          <w:tcPr>
            <w:tcW w:w="4649" w:type="dxa"/>
          </w:tcPr>
          <w:p w14:paraId="3335E529" w14:textId="77777777" w:rsidR="008D646B" w:rsidRDefault="008D646B" w:rsidP="00FB077D">
            <w:pPr>
              <w:rPr>
                <w:b/>
                <w:bCs/>
              </w:rPr>
            </w:pPr>
          </w:p>
          <w:p w14:paraId="35A525D8" w14:textId="77777777" w:rsidR="008D646B" w:rsidRPr="00570CD8" w:rsidRDefault="008D646B" w:rsidP="00FB077D">
            <w:pPr>
              <w:rPr>
                <w:b/>
                <w:bCs/>
              </w:rPr>
            </w:pPr>
            <w:r w:rsidRPr="00570CD8">
              <w:rPr>
                <w:b/>
                <w:bCs/>
              </w:rPr>
              <w:t>Action</w:t>
            </w:r>
          </w:p>
        </w:tc>
        <w:tc>
          <w:tcPr>
            <w:tcW w:w="4650" w:type="dxa"/>
          </w:tcPr>
          <w:p w14:paraId="1BA9A20B" w14:textId="77777777" w:rsidR="008D646B" w:rsidRDefault="008D646B" w:rsidP="00FB077D">
            <w:pPr>
              <w:rPr>
                <w:b/>
                <w:bCs/>
              </w:rPr>
            </w:pPr>
          </w:p>
          <w:p w14:paraId="55BA39EA" w14:textId="77777777" w:rsidR="008D646B" w:rsidRDefault="008D646B" w:rsidP="00FB077D">
            <w:pPr>
              <w:rPr>
                <w:b/>
                <w:bCs/>
              </w:rPr>
            </w:pPr>
            <w:r>
              <w:rPr>
                <w:b/>
                <w:bCs/>
              </w:rPr>
              <w:t>Importance</w:t>
            </w:r>
          </w:p>
          <w:p w14:paraId="644CAF81" w14:textId="77777777" w:rsidR="008D646B" w:rsidRDefault="008D646B" w:rsidP="00FB077D">
            <w:pPr>
              <w:rPr>
                <w:b/>
                <w:bCs/>
              </w:rPr>
            </w:pPr>
          </w:p>
          <w:p w14:paraId="6CF5DE79" w14:textId="77777777" w:rsidR="008D646B" w:rsidRDefault="008D646B" w:rsidP="00FB077D">
            <w:pPr>
              <w:rPr>
                <w:b/>
                <w:bCs/>
              </w:rPr>
            </w:pPr>
            <w:r>
              <w:rPr>
                <w:b/>
                <w:bCs/>
              </w:rPr>
              <w:t>Orange: Essential</w:t>
            </w:r>
          </w:p>
          <w:p w14:paraId="2F64B667" w14:textId="77777777" w:rsidR="008D646B" w:rsidRDefault="008D646B" w:rsidP="00FB077D">
            <w:pPr>
              <w:rPr>
                <w:b/>
                <w:bCs/>
              </w:rPr>
            </w:pPr>
            <w:r>
              <w:rPr>
                <w:b/>
                <w:bCs/>
              </w:rPr>
              <w:t>Yellow: Advisable</w:t>
            </w:r>
          </w:p>
          <w:p w14:paraId="45B65D5E" w14:textId="77777777" w:rsidR="008D646B" w:rsidRDefault="008D646B" w:rsidP="00FB077D">
            <w:pPr>
              <w:rPr>
                <w:b/>
                <w:bCs/>
              </w:rPr>
            </w:pPr>
            <w:r>
              <w:rPr>
                <w:b/>
                <w:bCs/>
              </w:rPr>
              <w:t>Green: Best practice</w:t>
            </w:r>
          </w:p>
          <w:p w14:paraId="0028B1B9" w14:textId="77777777" w:rsidR="008D646B" w:rsidRPr="00570CD8" w:rsidRDefault="008D646B" w:rsidP="00FB077D">
            <w:pPr>
              <w:rPr>
                <w:b/>
                <w:bCs/>
              </w:rPr>
            </w:pPr>
          </w:p>
        </w:tc>
      </w:tr>
      <w:tr w:rsidR="008D646B" w14:paraId="29EF1450" w14:textId="77777777" w:rsidTr="00FB077D">
        <w:tc>
          <w:tcPr>
            <w:tcW w:w="13948" w:type="dxa"/>
            <w:gridSpan w:val="3"/>
            <w:shd w:val="clear" w:color="auto" w:fill="auto"/>
          </w:tcPr>
          <w:p w14:paraId="33757520" w14:textId="77777777" w:rsidR="008D646B" w:rsidRDefault="008D646B" w:rsidP="00FB077D"/>
          <w:p w14:paraId="3C1B2B43" w14:textId="77777777" w:rsidR="008D646B" w:rsidRPr="006E1AFC" w:rsidRDefault="008D646B" w:rsidP="00FB077D">
            <w:pPr>
              <w:rPr>
                <w:b/>
                <w:bCs/>
              </w:rPr>
            </w:pPr>
            <w:r w:rsidRPr="006E1AFC">
              <w:rPr>
                <w:b/>
                <w:bCs/>
              </w:rPr>
              <w:t>Must be Addressed</w:t>
            </w:r>
          </w:p>
          <w:p w14:paraId="79576C9F" w14:textId="77777777" w:rsidR="008D646B" w:rsidRPr="006E1AFC" w:rsidRDefault="008D646B" w:rsidP="00FB077D"/>
        </w:tc>
      </w:tr>
      <w:tr w:rsidR="008D646B" w14:paraId="39D77D1F" w14:textId="77777777" w:rsidTr="00FB077D">
        <w:tc>
          <w:tcPr>
            <w:tcW w:w="4649" w:type="dxa"/>
          </w:tcPr>
          <w:p w14:paraId="53EB00FA" w14:textId="77777777" w:rsidR="008D646B" w:rsidRPr="002B65F5" w:rsidRDefault="008D646B" w:rsidP="00FB077D">
            <w:r w:rsidRPr="002B65F5">
              <w:t xml:space="preserve">Ensure the GM Mayor approves all remuneration of Private Sector Board Members. </w:t>
            </w:r>
          </w:p>
          <w:p w14:paraId="79914E55" w14:textId="77777777" w:rsidR="008D646B" w:rsidRPr="002B65F5" w:rsidRDefault="008D646B" w:rsidP="00FB077D"/>
        </w:tc>
        <w:tc>
          <w:tcPr>
            <w:tcW w:w="4649" w:type="dxa"/>
          </w:tcPr>
          <w:p w14:paraId="56771913" w14:textId="77777777" w:rsidR="008D646B" w:rsidRPr="002B65F5" w:rsidRDefault="008D646B" w:rsidP="00FB077D">
            <w:pPr>
              <w:tabs>
                <w:tab w:val="left" w:pos="2850"/>
              </w:tabs>
            </w:pPr>
            <w:r w:rsidRPr="002B65F5">
              <w:t xml:space="preserve">The GM Mayor has approved all remuneration but in some instances this approval has not been followed up in writing. The team have put processes in place to ensure that the MDC obtains written approval of Private Sector Board Member remuneration from the GM Mayor. </w:t>
            </w:r>
          </w:p>
          <w:p w14:paraId="3209D408" w14:textId="77777777" w:rsidR="008D646B" w:rsidRPr="002B65F5" w:rsidRDefault="008D646B" w:rsidP="00FB077D">
            <w:pPr>
              <w:tabs>
                <w:tab w:val="left" w:pos="2850"/>
              </w:tabs>
            </w:pPr>
            <w:r w:rsidRPr="002B65F5">
              <w:t xml:space="preserve"> </w:t>
            </w:r>
          </w:p>
        </w:tc>
        <w:tc>
          <w:tcPr>
            <w:tcW w:w="4650" w:type="dxa"/>
            <w:shd w:val="clear" w:color="auto" w:fill="F9A807"/>
          </w:tcPr>
          <w:p w14:paraId="3E18007C" w14:textId="77777777" w:rsidR="008D646B" w:rsidRDefault="008D646B" w:rsidP="00FB077D"/>
        </w:tc>
      </w:tr>
      <w:tr w:rsidR="008D646B" w14:paraId="5C6BF961" w14:textId="77777777" w:rsidTr="00FB077D">
        <w:tc>
          <w:tcPr>
            <w:tcW w:w="4649" w:type="dxa"/>
          </w:tcPr>
          <w:p w14:paraId="1AE7F391" w14:textId="77777777" w:rsidR="008D646B" w:rsidRDefault="008D646B" w:rsidP="00FB077D">
            <w:r>
              <w:t>Review Board membership to ensure it complies with requirements.</w:t>
            </w:r>
          </w:p>
          <w:p w14:paraId="4F77CB54" w14:textId="77777777" w:rsidR="008D646B" w:rsidRDefault="008D646B" w:rsidP="00FB077D"/>
        </w:tc>
        <w:tc>
          <w:tcPr>
            <w:tcW w:w="4649" w:type="dxa"/>
          </w:tcPr>
          <w:p w14:paraId="41C0448F" w14:textId="77777777" w:rsidR="008D646B" w:rsidRDefault="008D646B" w:rsidP="00FB077D">
            <w:pPr>
              <w:tabs>
                <w:tab w:val="left" w:pos="2850"/>
              </w:tabs>
            </w:pPr>
            <w:r>
              <w:t xml:space="preserve">Review in progress. </w:t>
            </w:r>
            <w:r>
              <w:tab/>
            </w:r>
          </w:p>
        </w:tc>
        <w:tc>
          <w:tcPr>
            <w:tcW w:w="4650" w:type="dxa"/>
            <w:shd w:val="clear" w:color="auto" w:fill="F9A807"/>
          </w:tcPr>
          <w:p w14:paraId="08130323" w14:textId="77777777" w:rsidR="008D646B" w:rsidRDefault="008D646B" w:rsidP="00FB077D"/>
        </w:tc>
      </w:tr>
      <w:tr w:rsidR="008D646B" w14:paraId="5A325D84" w14:textId="77777777" w:rsidTr="00FB077D">
        <w:tc>
          <w:tcPr>
            <w:tcW w:w="4649" w:type="dxa"/>
          </w:tcPr>
          <w:p w14:paraId="354AE9C3" w14:textId="77777777" w:rsidR="008D646B" w:rsidRDefault="008D646B" w:rsidP="00FB077D">
            <w:r>
              <w:t xml:space="preserve">Ensure copies of all reports and background papers for past and future meetings are made available at Stockport MDC’s offices for inspection unless they contain confidential or exempt information. Consider whether to publish this information on the website. </w:t>
            </w:r>
          </w:p>
          <w:p w14:paraId="15F6AA6B" w14:textId="77777777" w:rsidR="008D646B" w:rsidRDefault="008D646B" w:rsidP="00FB077D"/>
          <w:p w14:paraId="32F496C6" w14:textId="77777777" w:rsidR="008D646B" w:rsidRDefault="008D646B" w:rsidP="00FB077D"/>
        </w:tc>
        <w:tc>
          <w:tcPr>
            <w:tcW w:w="4649" w:type="dxa"/>
          </w:tcPr>
          <w:p w14:paraId="6C4903D7" w14:textId="77777777" w:rsidR="008D646B" w:rsidRDefault="008D646B" w:rsidP="00FB077D">
            <w:r>
              <w:t xml:space="preserve">All reports and background papers are now available at Stockport MDC’s offices for review. An update has been made to the website to highlight this. </w:t>
            </w:r>
          </w:p>
        </w:tc>
        <w:tc>
          <w:tcPr>
            <w:tcW w:w="4650" w:type="dxa"/>
            <w:shd w:val="clear" w:color="auto" w:fill="F9A807"/>
          </w:tcPr>
          <w:p w14:paraId="48254E1C" w14:textId="77777777" w:rsidR="008D646B" w:rsidRDefault="008D646B" w:rsidP="00FB077D"/>
        </w:tc>
      </w:tr>
      <w:tr w:rsidR="008D646B" w14:paraId="470D3765" w14:textId="77777777" w:rsidTr="00FB077D">
        <w:tc>
          <w:tcPr>
            <w:tcW w:w="4649" w:type="dxa"/>
          </w:tcPr>
          <w:p w14:paraId="593A6685" w14:textId="77777777" w:rsidR="008D646B" w:rsidRDefault="008D646B" w:rsidP="00FB077D">
            <w:pPr>
              <w:rPr>
                <w:rFonts w:cs="Arial"/>
                <w:bCs/>
              </w:rPr>
            </w:pPr>
            <w:r>
              <w:rPr>
                <w:rFonts w:cs="Arial"/>
                <w:bCs/>
              </w:rPr>
              <w:lastRenderedPageBreak/>
              <w:t>A</w:t>
            </w:r>
            <w:r w:rsidRPr="006E1AFC">
              <w:rPr>
                <w:rFonts w:cs="Arial"/>
                <w:bCs/>
              </w:rPr>
              <w:t>dopt a publication scheme and ensure that its website is updated to include information to enable members of the public to request information.</w:t>
            </w:r>
          </w:p>
          <w:p w14:paraId="307BE6CA" w14:textId="77777777" w:rsidR="008D646B" w:rsidRPr="006E1AFC" w:rsidRDefault="008D646B" w:rsidP="00FB077D"/>
        </w:tc>
        <w:tc>
          <w:tcPr>
            <w:tcW w:w="4649" w:type="dxa"/>
          </w:tcPr>
          <w:p w14:paraId="1C51B17F" w14:textId="77777777" w:rsidR="008D646B" w:rsidRDefault="008D646B" w:rsidP="00FB077D">
            <w:r>
              <w:t xml:space="preserve">Work is underway with Stockport Council’s Information Governance team. </w:t>
            </w:r>
          </w:p>
        </w:tc>
        <w:tc>
          <w:tcPr>
            <w:tcW w:w="4650" w:type="dxa"/>
            <w:shd w:val="clear" w:color="auto" w:fill="F9A807"/>
          </w:tcPr>
          <w:p w14:paraId="05130E03" w14:textId="77777777" w:rsidR="008D646B" w:rsidRDefault="008D646B" w:rsidP="00FB077D"/>
        </w:tc>
      </w:tr>
      <w:tr w:rsidR="008D646B" w14:paraId="55157AB3" w14:textId="77777777" w:rsidTr="00FB077D">
        <w:tc>
          <w:tcPr>
            <w:tcW w:w="4649" w:type="dxa"/>
          </w:tcPr>
          <w:p w14:paraId="61130145" w14:textId="77777777" w:rsidR="008D646B" w:rsidRDefault="008D646B" w:rsidP="00FB077D">
            <w:r>
              <w:t>Prepare an annual report each year.</w:t>
            </w:r>
          </w:p>
          <w:p w14:paraId="31249D44" w14:textId="77777777" w:rsidR="008D646B" w:rsidRDefault="008D646B" w:rsidP="00FB077D"/>
        </w:tc>
        <w:tc>
          <w:tcPr>
            <w:tcW w:w="4649" w:type="dxa"/>
          </w:tcPr>
          <w:p w14:paraId="64B21470" w14:textId="77777777" w:rsidR="008D646B" w:rsidRDefault="008D646B" w:rsidP="00FB077D">
            <w:r>
              <w:t xml:space="preserve">An annual report of activity has been incorporated into the Strategic Business Plan in previous years. From 2025/26 this will be aligned with reporting of audited accounts.  </w:t>
            </w:r>
          </w:p>
        </w:tc>
        <w:tc>
          <w:tcPr>
            <w:tcW w:w="4650" w:type="dxa"/>
            <w:shd w:val="clear" w:color="auto" w:fill="F9A807"/>
          </w:tcPr>
          <w:p w14:paraId="1EC70B9E" w14:textId="77777777" w:rsidR="008D646B" w:rsidRDefault="008D646B" w:rsidP="00FB077D"/>
        </w:tc>
      </w:tr>
      <w:tr w:rsidR="008D646B" w14:paraId="1DCFC7E3" w14:textId="77777777" w:rsidTr="00FB077D">
        <w:tc>
          <w:tcPr>
            <w:tcW w:w="13948" w:type="dxa"/>
            <w:gridSpan w:val="3"/>
          </w:tcPr>
          <w:p w14:paraId="3410F7C0" w14:textId="77777777" w:rsidR="008D646B" w:rsidRDefault="008D646B" w:rsidP="00FB077D"/>
          <w:p w14:paraId="09FD489C" w14:textId="77777777" w:rsidR="008D646B" w:rsidRPr="006E1AFC" w:rsidRDefault="008D646B" w:rsidP="00FB077D">
            <w:pPr>
              <w:rPr>
                <w:b/>
                <w:bCs/>
              </w:rPr>
            </w:pPr>
            <w:r>
              <w:rPr>
                <w:b/>
                <w:bCs/>
              </w:rPr>
              <w:t>Advisable to ensure ongoing compliance</w:t>
            </w:r>
          </w:p>
          <w:p w14:paraId="54D74391" w14:textId="77777777" w:rsidR="008D646B" w:rsidRDefault="008D646B" w:rsidP="00FB077D"/>
          <w:p w14:paraId="6147E2AC" w14:textId="77777777" w:rsidR="008D646B" w:rsidRDefault="008D646B" w:rsidP="00FB077D"/>
        </w:tc>
      </w:tr>
      <w:tr w:rsidR="008D646B" w14:paraId="6B37B5E9" w14:textId="77777777" w:rsidTr="00FB077D">
        <w:tc>
          <w:tcPr>
            <w:tcW w:w="4649" w:type="dxa"/>
          </w:tcPr>
          <w:p w14:paraId="47341C6B" w14:textId="77777777" w:rsidR="008D646B" w:rsidRDefault="008D646B" w:rsidP="00FB077D">
            <w:r>
              <w:t>Consider maintaining a forward plan to ensure tasks are undertaken and reported back to the Board at appropriate times</w:t>
            </w:r>
          </w:p>
          <w:p w14:paraId="3532FD41" w14:textId="77777777" w:rsidR="008D646B" w:rsidRDefault="008D646B" w:rsidP="00FB077D"/>
        </w:tc>
        <w:tc>
          <w:tcPr>
            <w:tcW w:w="4649" w:type="dxa"/>
          </w:tcPr>
          <w:p w14:paraId="002A6BED" w14:textId="77777777" w:rsidR="008D646B" w:rsidRDefault="008D646B" w:rsidP="00FB077D">
            <w:r>
              <w:t xml:space="preserve">A forward plan has been developed and will be used to inform Board reporting from March 2025. </w:t>
            </w:r>
          </w:p>
        </w:tc>
        <w:tc>
          <w:tcPr>
            <w:tcW w:w="4650" w:type="dxa"/>
            <w:shd w:val="clear" w:color="auto" w:fill="FFFF66"/>
          </w:tcPr>
          <w:p w14:paraId="767B173F" w14:textId="77777777" w:rsidR="008D646B" w:rsidRPr="00C90F9D" w:rsidRDefault="008D646B" w:rsidP="00FB077D"/>
        </w:tc>
      </w:tr>
      <w:tr w:rsidR="008D646B" w14:paraId="74DDDC26" w14:textId="77777777" w:rsidTr="00FB077D">
        <w:tc>
          <w:tcPr>
            <w:tcW w:w="4649" w:type="dxa"/>
          </w:tcPr>
          <w:p w14:paraId="534A94C5" w14:textId="77777777" w:rsidR="008D646B" w:rsidRDefault="008D646B" w:rsidP="00FB077D">
            <w:r>
              <w:t>Ensure a full copy of the Constitution including appendices is available on the website.</w:t>
            </w:r>
          </w:p>
          <w:p w14:paraId="6F3A1D69" w14:textId="77777777" w:rsidR="008D646B" w:rsidRDefault="008D646B" w:rsidP="00FB077D"/>
        </w:tc>
        <w:tc>
          <w:tcPr>
            <w:tcW w:w="4649" w:type="dxa"/>
          </w:tcPr>
          <w:p w14:paraId="238728CD" w14:textId="77777777" w:rsidR="008D646B" w:rsidRDefault="008D646B" w:rsidP="00FB077D">
            <w:r>
              <w:t xml:space="preserve">A full copy of the Constitution and all appendices are now available on the website. </w:t>
            </w:r>
          </w:p>
        </w:tc>
        <w:tc>
          <w:tcPr>
            <w:tcW w:w="4650" w:type="dxa"/>
            <w:shd w:val="clear" w:color="auto" w:fill="FFFF66"/>
          </w:tcPr>
          <w:p w14:paraId="13350A6E" w14:textId="77777777" w:rsidR="008D646B" w:rsidRPr="00C90F9D" w:rsidRDefault="008D646B" w:rsidP="00FB077D"/>
        </w:tc>
      </w:tr>
      <w:tr w:rsidR="008D646B" w14:paraId="295BF9D8" w14:textId="77777777" w:rsidTr="00FB077D">
        <w:tc>
          <w:tcPr>
            <w:tcW w:w="4649" w:type="dxa"/>
          </w:tcPr>
          <w:p w14:paraId="7E5394DD" w14:textId="77777777" w:rsidR="008D646B" w:rsidRDefault="008D646B" w:rsidP="00FB077D">
            <w:r>
              <w:t xml:space="preserve">Review the terms of appointment of Board Members and make sure they are approved by the GM Mayor. </w:t>
            </w:r>
          </w:p>
          <w:p w14:paraId="6782D440" w14:textId="77777777" w:rsidR="008D646B" w:rsidRDefault="008D646B" w:rsidP="00FB077D"/>
        </w:tc>
        <w:tc>
          <w:tcPr>
            <w:tcW w:w="4649" w:type="dxa"/>
          </w:tcPr>
          <w:p w14:paraId="21157FBB" w14:textId="77777777" w:rsidR="008D646B" w:rsidRDefault="008D646B" w:rsidP="00FB077D">
            <w:r>
              <w:t>Terms of appointment have been reviewed and updated and will be part of the document pack for the March 2025 Board meeting.</w:t>
            </w:r>
          </w:p>
          <w:p w14:paraId="50D1F2AA" w14:textId="77777777" w:rsidR="008D646B" w:rsidRDefault="008D646B" w:rsidP="00FB077D"/>
        </w:tc>
        <w:tc>
          <w:tcPr>
            <w:tcW w:w="4650" w:type="dxa"/>
            <w:shd w:val="clear" w:color="auto" w:fill="FFFF66"/>
          </w:tcPr>
          <w:p w14:paraId="21573369" w14:textId="77777777" w:rsidR="008D646B" w:rsidRPr="00C90F9D" w:rsidRDefault="008D646B" w:rsidP="00FB077D"/>
        </w:tc>
      </w:tr>
      <w:tr w:rsidR="008D646B" w14:paraId="58DB472E" w14:textId="77777777" w:rsidTr="00FB077D">
        <w:tc>
          <w:tcPr>
            <w:tcW w:w="4649" w:type="dxa"/>
          </w:tcPr>
          <w:p w14:paraId="488C9DDF" w14:textId="77777777" w:rsidR="008D646B" w:rsidRDefault="008D646B" w:rsidP="00FB077D">
            <w:r>
              <w:t>Annually review and refresh declarations of interest to ensure they remain current and ensure the register and online entry is updated.</w:t>
            </w:r>
          </w:p>
          <w:p w14:paraId="55915C03" w14:textId="77777777" w:rsidR="008D646B" w:rsidRDefault="008D646B" w:rsidP="00FB077D"/>
        </w:tc>
        <w:tc>
          <w:tcPr>
            <w:tcW w:w="4649" w:type="dxa"/>
          </w:tcPr>
          <w:p w14:paraId="4483BD6D" w14:textId="77777777" w:rsidR="008D646B" w:rsidRDefault="008D646B" w:rsidP="00FB077D">
            <w:r>
              <w:t xml:space="preserve">Forms have been updated and will be shared with Board members to complete after the March 2025 meeting and annually thereafter. </w:t>
            </w:r>
          </w:p>
        </w:tc>
        <w:tc>
          <w:tcPr>
            <w:tcW w:w="4650" w:type="dxa"/>
            <w:shd w:val="clear" w:color="auto" w:fill="FFFF66"/>
          </w:tcPr>
          <w:p w14:paraId="0D06CC60" w14:textId="77777777" w:rsidR="008D646B" w:rsidRPr="00C90F9D" w:rsidRDefault="008D646B" w:rsidP="00FB077D"/>
        </w:tc>
      </w:tr>
      <w:tr w:rsidR="008D646B" w14:paraId="022D867A" w14:textId="77777777" w:rsidTr="00FB077D">
        <w:tc>
          <w:tcPr>
            <w:tcW w:w="4649" w:type="dxa"/>
          </w:tcPr>
          <w:p w14:paraId="6F469469" w14:textId="77777777" w:rsidR="008D646B" w:rsidRDefault="008D646B" w:rsidP="00FB077D">
            <w:r>
              <w:t>Finance Director to review existing controls to ensure appropriate records are kept.</w:t>
            </w:r>
          </w:p>
          <w:p w14:paraId="01B88525" w14:textId="77777777" w:rsidR="008D646B" w:rsidRDefault="008D646B" w:rsidP="00FB077D"/>
        </w:tc>
        <w:tc>
          <w:tcPr>
            <w:tcW w:w="4649" w:type="dxa"/>
          </w:tcPr>
          <w:p w14:paraId="1ED89FCE" w14:textId="77777777" w:rsidR="008D646B" w:rsidRDefault="008D646B" w:rsidP="00FB077D">
            <w:r>
              <w:t xml:space="preserve">This is in progress. </w:t>
            </w:r>
          </w:p>
          <w:p w14:paraId="777760A0" w14:textId="77777777" w:rsidR="008D646B" w:rsidRDefault="008D646B" w:rsidP="00FB077D"/>
        </w:tc>
        <w:tc>
          <w:tcPr>
            <w:tcW w:w="4650" w:type="dxa"/>
            <w:shd w:val="clear" w:color="auto" w:fill="FFFF66"/>
          </w:tcPr>
          <w:p w14:paraId="39C2D336" w14:textId="77777777" w:rsidR="008D646B" w:rsidRPr="00C90F9D" w:rsidRDefault="008D646B" w:rsidP="00FB077D"/>
        </w:tc>
      </w:tr>
      <w:tr w:rsidR="008D646B" w14:paraId="6FFF04D9" w14:textId="77777777" w:rsidTr="00FB077D">
        <w:tc>
          <w:tcPr>
            <w:tcW w:w="4649" w:type="dxa"/>
          </w:tcPr>
          <w:p w14:paraId="278CB137" w14:textId="77777777" w:rsidR="008D646B" w:rsidRPr="00373316" w:rsidRDefault="008D646B" w:rsidP="00FB077D">
            <w:r w:rsidRPr="00373316">
              <w:rPr>
                <w:rFonts w:cs="Arial"/>
                <w:bCs/>
              </w:rPr>
              <w:lastRenderedPageBreak/>
              <w:t>Stockport MDC should update its Constitution to include the access to information rules.</w:t>
            </w:r>
          </w:p>
          <w:p w14:paraId="5B775BFB" w14:textId="77777777" w:rsidR="008D646B" w:rsidRDefault="008D646B" w:rsidP="00FB077D"/>
        </w:tc>
        <w:tc>
          <w:tcPr>
            <w:tcW w:w="4649" w:type="dxa"/>
          </w:tcPr>
          <w:p w14:paraId="0D10843A" w14:textId="77777777" w:rsidR="008D646B" w:rsidRDefault="008D646B" w:rsidP="00FB077D">
            <w:r>
              <w:t xml:space="preserve">This is in progress, there are numerous changes being proposed to the constitution, most significant of which is the potential increase to the MDC boundary – the team propose to coordinate these changes with one suite of amendments to the Constitution. </w:t>
            </w:r>
          </w:p>
          <w:p w14:paraId="4DAD68F4" w14:textId="77777777" w:rsidR="008D646B" w:rsidRDefault="008D646B" w:rsidP="00FB077D"/>
        </w:tc>
        <w:tc>
          <w:tcPr>
            <w:tcW w:w="4650" w:type="dxa"/>
            <w:shd w:val="clear" w:color="auto" w:fill="FFFF66"/>
          </w:tcPr>
          <w:p w14:paraId="10A04836" w14:textId="77777777" w:rsidR="008D646B" w:rsidRPr="00C90F9D" w:rsidRDefault="008D646B" w:rsidP="00FB077D"/>
        </w:tc>
      </w:tr>
      <w:tr w:rsidR="008D646B" w14:paraId="0217D55A" w14:textId="77777777" w:rsidTr="00FB077D">
        <w:tc>
          <w:tcPr>
            <w:tcW w:w="4649" w:type="dxa"/>
          </w:tcPr>
          <w:p w14:paraId="2569F2BE" w14:textId="77777777" w:rsidR="008D646B" w:rsidRPr="00373316" w:rsidRDefault="008D646B" w:rsidP="00FB077D">
            <w:r>
              <w:rPr>
                <w:rFonts w:cs="Arial"/>
                <w:bCs/>
              </w:rPr>
              <w:t>Review</w:t>
            </w:r>
            <w:r w:rsidRPr="00373316">
              <w:rPr>
                <w:rFonts w:cs="Arial"/>
                <w:bCs/>
              </w:rPr>
              <w:t xml:space="preserve"> all data protection policies and privacy notices periodically to ensure they continue to meet the requirement of data protection legislation.</w:t>
            </w:r>
          </w:p>
          <w:p w14:paraId="6C922AE1" w14:textId="77777777" w:rsidR="008D646B" w:rsidRDefault="008D646B" w:rsidP="00FB077D"/>
        </w:tc>
        <w:tc>
          <w:tcPr>
            <w:tcW w:w="4649" w:type="dxa"/>
          </w:tcPr>
          <w:p w14:paraId="3E83DAFF" w14:textId="77777777" w:rsidR="008D646B" w:rsidRDefault="008D646B" w:rsidP="00FB077D">
            <w:r>
              <w:t xml:space="preserve">The MDC has agreed a new SLA with Stockport Council’s Information Governance Team to review all Data Protection policies annually and provide training to all staff. This will come into effect from April 2025. </w:t>
            </w:r>
          </w:p>
          <w:p w14:paraId="637539C8" w14:textId="77777777" w:rsidR="008D646B" w:rsidRDefault="008D646B" w:rsidP="00FB077D"/>
        </w:tc>
        <w:tc>
          <w:tcPr>
            <w:tcW w:w="4650" w:type="dxa"/>
            <w:shd w:val="clear" w:color="auto" w:fill="FFFF66"/>
          </w:tcPr>
          <w:p w14:paraId="2336A2FF" w14:textId="77777777" w:rsidR="008D646B" w:rsidRPr="00C90F9D" w:rsidRDefault="008D646B" w:rsidP="00FB077D"/>
        </w:tc>
      </w:tr>
      <w:tr w:rsidR="008D646B" w14:paraId="346BC8A4" w14:textId="77777777" w:rsidTr="00FB077D">
        <w:tc>
          <w:tcPr>
            <w:tcW w:w="4649" w:type="dxa"/>
          </w:tcPr>
          <w:p w14:paraId="67608076" w14:textId="77777777" w:rsidR="008D646B" w:rsidRDefault="008D646B" w:rsidP="00FB077D">
            <w:r w:rsidRPr="00373316">
              <w:rPr>
                <w:rFonts w:cs="Arial"/>
                <w:bCs/>
              </w:rPr>
              <w:t>Stockport MDC and GMCA should consider strengthening the lines of reporting between the Corporation Solicitor and GMCA’s Monitoring Officer to ensure that areas of concern can be adequately addressed and that amendments to the Stockport MDC Constitution are approved by the GMCA</w:t>
            </w:r>
            <w:r w:rsidRPr="008D612D">
              <w:rPr>
                <w:rFonts w:ascii="Arial" w:hAnsi="Arial" w:cs="Arial"/>
                <w:bCs/>
                <w:sz w:val="24"/>
                <w:szCs w:val="24"/>
              </w:rPr>
              <w:t>.</w:t>
            </w:r>
          </w:p>
          <w:p w14:paraId="7C2D137F" w14:textId="77777777" w:rsidR="008D646B" w:rsidRDefault="008D646B" w:rsidP="00FB077D"/>
        </w:tc>
        <w:tc>
          <w:tcPr>
            <w:tcW w:w="4649" w:type="dxa"/>
          </w:tcPr>
          <w:p w14:paraId="6851DDCE" w14:textId="77777777" w:rsidR="008D646B" w:rsidRDefault="008D646B" w:rsidP="00FB077D">
            <w:r>
              <w:t>This will be coordinated by the Corporation Solicitor with the GMCA MO.</w:t>
            </w:r>
          </w:p>
        </w:tc>
        <w:tc>
          <w:tcPr>
            <w:tcW w:w="4650" w:type="dxa"/>
            <w:shd w:val="clear" w:color="auto" w:fill="FFFF66"/>
          </w:tcPr>
          <w:p w14:paraId="27B70C9E" w14:textId="77777777" w:rsidR="008D646B" w:rsidRPr="00C90F9D" w:rsidRDefault="008D646B" w:rsidP="00FB077D"/>
        </w:tc>
      </w:tr>
      <w:tr w:rsidR="008D646B" w14:paraId="2AC83890" w14:textId="77777777" w:rsidTr="00FB077D">
        <w:tc>
          <w:tcPr>
            <w:tcW w:w="4649" w:type="dxa"/>
          </w:tcPr>
          <w:p w14:paraId="25FCFABF" w14:textId="77777777" w:rsidR="008D646B" w:rsidRPr="00373316" w:rsidRDefault="008D646B" w:rsidP="00FB077D">
            <w:r w:rsidRPr="00373316">
              <w:rPr>
                <w:rFonts w:cs="Arial"/>
                <w:bCs/>
              </w:rPr>
              <w:t>The GMCA should consider to what extent the activities of Stockport MDC and/or of the GM Mayor in relation to Stockport MDC should be subject to its own scrutiny arrangements.</w:t>
            </w:r>
          </w:p>
          <w:p w14:paraId="752C2994" w14:textId="77777777" w:rsidR="008D646B" w:rsidRDefault="008D646B" w:rsidP="00FB077D"/>
        </w:tc>
        <w:tc>
          <w:tcPr>
            <w:tcW w:w="4649" w:type="dxa"/>
          </w:tcPr>
          <w:p w14:paraId="3A441BCF" w14:textId="77777777" w:rsidR="008D646B" w:rsidRDefault="008D646B" w:rsidP="00FB077D">
            <w:r>
              <w:t>This is with GMCA and the team will follow up with the GMCA MO.</w:t>
            </w:r>
          </w:p>
        </w:tc>
        <w:tc>
          <w:tcPr>
            <w:tcW w:w="4650" w:type="dxa"/>
            <w:shd w:val="clear" w:color="auto" w:fill="FFFF66"/>
          </w:tcPr>
          <w:p w14:paraId="61EBB694" w14:textId="77777777" w:rsidR="008D646B" w:rsidRPr="00C90F9D" w:rsidRDefault="008D646B" w:rsidP="00FB077D"/>
        </w:tc>
      </w:tr>
      <w:tr w:rsidR="008D646B" w14:paraId="2AB13799" w14:textId="77777777" w:rsidTr="00FB077D">
        <w:tc>
          <w:tcPr>
            <w:tcW w:w="13948" w:type="dxa"/>
            <w:gridSpan w:val="3"/>
            <w:shd w:val="clear" w:color="auto" w:fill="FFFFFF" w:themeFill="background1"/>
          </w:tcPr>
          <w:p w14:paraId="5E2EBC42" w14:textId="77777777" w:rsidR="008D646B" w:rsidRDefault="008D646B" w:rsidP="00FB077D"/>
          <w:p w14:paraId="41F928E9" w14:textId="77777777" w:rsidR="008D646B" w:rsidRPr="00373316" w:rsidRDefault="008D646B" w:rsidP="00FB077D">
            <w:pPr>
              <w:rPr>
                <w:b/>
                <w:bCs/>
              </w:rPr>
            </w:pPr>
            <w:r>
              <w:rPr>
                <w:b/>
                <w:bCs/>
              </w:rPr>
              <w:t>Suggestions to promote a model of best practice</w:t>
            </w:r>
          </w:p>
          <w:p w14:paraId="0EA352EE" w14:textId="77777777" w:rsidR="008D646B" w:rsidRDefault="008D646B" w:rsidP="00FB077D"/>
        </w:tc>
      </w:tr>
      <w:tr w:rsidR="008D646B" w14:paraId="09DBA193" w14:textId="77777777" w:rsidTr="00FB077D">
        <w:tc>
          <w:tcPr>
            <w:tcW w:w="4649" w:type="dxa"/>
          </w:tcPr>
          <w:p w14:paraId="6BAEB8D4" w14:textId="77777777" w:rsidR="008D646B" w:rsidRDefault="008D646B" w:rsidP="00FB077D">
            <w:r>
              <w:t xml:space="preserve">Consider putting in place an induction process for staff to ensure that appropriate policies and procedures are brought to the attention of new staff. </w:t>
            </w:r>
          </w:p>
          <w:p w14:paraId="28F58B76" w14:textId="77777777" w:rsidR="008D646B" w:rsidRDefault="008D646B" w:rsidP="00FB077D"/>
        </w:tc>
        <w:tc>
          <w:tcPr>
            <w:tcW w:w="4649" w:type="dxa"/>
          </w:tcPr>
          <w:p w14:paraId="6EF3FDD0" w14:textId="77777777" w:rsidR="008D646B" w:rsidRDefault="008D646B" w:rsidP="00FB077D">
            <w:r>
              <w:lastRenderedPageBreak/>
              <w:t xml:space="preserve">Done for all new MDC staff recruited since December 2024. </w:t>
            </w:r>
          </w:p>
        </w:tc>
        <w:tc>
          <w:tcPr>
            <w:tcW w:w="4650" w:type="dxa"/>
            <w:shd w:val="clear" w:color="auto" w:fill="92D050"/>
          </w:tcPr>
          <w:p w14:paraId="215D0D80" w14:textId="77777777" w:rsidR="008D646B" w:rsidRDefault="008D646B" w:rsidP="00FB077D"/>
        </w:tc>
      </w:tr>
      <w:tr w:rsidR="008D646B" w14:paraId="768D0637" w14:textId="77777777" w:rsidTr="00FB077D">
        <w:tc>
          <w:tcPr>
            <w:tcW w:w="4649" w:type="dxa"/>
          </w:tcPr>
          <w:p w14:paraId="49D22F1C" w14:textId="77777777" w:rsidR="008D646B" w:rsidRDefault="008D646B" w:rsidP="00FB077D">
            <w:r>
              <w:t xml:space="preserve">Agenda for Board meetings should include instructions to members of the public setting out the arrangements for attendance at public meetings. </w:t>
            </w:r>
          </w:p>
          <w:p w14:paraId="1F66338B" w14:textId="77777777" w:rsidR="008D646B" w:rsidRDefault="008D646B" w:rsidP="00FB077D"/>
        </w:tc>
        <w:tc>
          <w:tcPr>
            <w:tcW w:w="4649" w:type="dxa"/>
          </w:tcPr>
          <w:p w14:paraId="2ED42454" w14:textId="77777777" w:rsidR="008D646B" w:rsidRDefault="008D646B" w:rsidP="00FB077D">
            <w:r w:rsidRPr="002B65F5">
              <w:t xml:space="preserve">This is in progress and wording will be included in all agendas from June 2025.  </w:t>
            </w:r>
          </w:p>
        </w:tc>
        <w:tc>
          <w:tcPr>
            <w:tcW w:w="4650" w:type="dxa"/>
            <w:shd w:val="clear" w:color="auto" w:fill="92D050"/>
          </w:tcPr>
          <w:p w14:paraId="1B827346" w14:textId="77777777" w:rsidR="008D646B" w:rsidRDefault="008D646B" w:rsidP="00FB077D"/>
        </w:tc>
      </w:tr>
    </w:tbl>
    <w:p w14:paraId="7DF77FD4" w14:textId="77777777" w:rsidR="008D646B" w:rsidRDefault="008D646B"/>
    <w:sectPr w:rsidR="008D646B" w:rsidSect="00570CD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D8"/>
    <w:rsid w:val="00005C2B"/>
    <w:rsid w:val="000514A4"/>
    <w:rsid w:val="000A59AF"/>
    <w:rsid w:val="000E50F7"/>
    <w:rsid w:val="000F392D"/>
    <w:rsid w:val="00126D3A"/>
    <w:rsid w:val="00210B8A"/>
    <w:rsid w:val="0028318C"/>
    <w:rsid w:val="002864BA"/>
    <w:rsid w:val="002B65F5"/>
    <w:rsid w:val="00373316"/>
    <w:rsid w:val="003C5CE3"/>
    <w:rsid w:val="00417361"/>
    <w:rsid w:val="004A6BE0"/>
    <w:rsid w:val="00500470"/>
    <w:rsid w:val="00533D72"/>
    <w:rsid w:val="00570CD8"/>
    <w:rsid w:val="005960BE"/>
    <w:rsid w:val="00597768"/>
    <w:rsid w:val="006C34AC"/>
    <w:rsid w:val="006E1AFC"/>
    <w:rsid w:val="007648FD"/>
    <w:rsid w:val="008062BF"/>
    <w:rsid w:val="008D646B"/>
    <w:rsid w:val="00A00163"/>
    <w:rsid w:val="00A60EC4"/>
    <w:rsid w:val="00AF554D"/>
    <w:rsid w:val="00C90F9D"/>
    <w:rsid w:val="00CB4F4A"/>
    <w:rsid w:val="00CE4831"/>
    <w:rsid w:val="00CE79E7"/>
    <w:rsid w:val="00D37795"/>
    <w:rsid w:val="00D9634B"/>
    <w:rsid w:val="00E36186"/>
    <w:rsid w:val="00E67651"/>
    <w:rsid w:val="00F264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D771"/>
  <w15:chartTrackingRefBased/>
  <w15:docId w15:val="{433778DF-6364-40E7-82A3-08EB6113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CD8"/>
    <w:rPr>
      <w:rFonts w:eastAsiaTheme="majorEastAsia" w:cstheme="majorBidi"/>
      <w:color w:val="272727" w:themeColor="text1" w:themeTint="D8"/>
    </w:rPr>
  </w:style>
  <w:style w:type="paragraph" w:styleId="Title">
    <w:name w:val="Title"/>
    <w:basedOn w:val="Normal"/>
    <w:next w:val="Normal"/>
    <w:link w:val="TitleChar"/>
    <w:uiPriority w:val="10"/>
    <w:qFormat/>
    <w:rsid w:val="00570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CD8"/>
    <w:pPr>
      <w:spacing w:before="160"/>
      <w:jc w:val="center"/>
    </w:pPr>
    <w:rPr>
      <w:i/>
      <w:iCs/>
      <w:color w:val="404040" w:themeColor="text1" w:themeTint="BF"/>
    </w:rPr>
  </w:style>
  <w:style w:type="character" w:customStyle="1" w:styleId="QuoteChar">
    <w:name w:val="Quote Char"/>
    <w:basedOn w:val="DefaultParagraphFont"/>
    <w:link w:val="Quote"/>
    <w:uiPriority w:val="29"/>
    <w:rsid w:val="00570CD8"/>
    <w:rPr>
      <w:i/>
      <w:iCs/>
      <w:color w:val="404040" w:themeColor="text1" w:themeTint="BF"/>
    </w:rPr>
  </w:style>
  <w:style w:type="paragraph" w:styleId="ListParagraph">
    <w:name w:val="List Paragraph"/>
    <w:basedOn w:val="Normal"/>
    <w:uiPriority w:val="34"/>
    <w:qFormat/>
    <w:rsid w:val="00570CD8"/>
    <w:pPr>
      <w:ind w:left="720"/>
      <w:contextualSpacing/>
    </w:pPr>
  </w:style>
  <w:style w:type="character" w:styleId="IntenseEmphasis">
    <w:name w:val="Intense Emphasis"/>
    <w:basedOn w:val="DefaultParagraphFont"/>
    <w:uiPriority w:val="21"/>
    <w:qFormat/>
    <w:rsid w:val="00570CD8"/>
    <w:rPr>
      <w:i/>
      <w:iCs/>
      <w:color w:val="0F4761" w:themeColor="accent1" w:themeShade="BF"/>
    </w:rPr>
  </w:style>
  <w:style w:type="paragraph" w:styleId="IntenseQuote">
    <w:name w:val="Intense Quote"/>
    <w:basedOn w:val="Normal"/>
    <w:next w:val="Normal"/>
    <w:link w:val="IntenseQuoteChar"/>
    <w:uiPriority w:val="30"/>
    <w:qFormat/>
    <w:rsid w:val="00570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CD8"/>
    <w:rPr>
      <w:i/>
      <w:iCs/>
      <w:color w:val="0F4761" w:themeColor="accent1" w:themeShade="BF"/>
    </w:rPr>
  </w:style>
  <w:style w:type="character" w:styleId="IntenseReference">
    <w:name w:val="Intense Reference"/>
    <w:basedOn w:val="DefaultParagraphFont"/>
    <w:uiPriority w:val="32"/>
    <w:qFormat/>
    <w:rsid w:val="00570CD8"/>
    <w:rPr>
      <w:b/>
      <w:bCs/>
      <w:smallCaps/>
      <w:color w:val="0F4761" w:themeColor="accent1" w:themeShade="BF"/>
      <w:spacing w:val="5"/>
    </w:rPr>
  </w:style>
  <w:style w:type="table" w:styleId="TableGrid">
    <w:name w:val="Table Grid"/>
    <w:basedOn w:val="TableNormal"/>
    <w:uiPriority w:val="39"/>
    <w:rsid w:val="00570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0470"/>
    <w:rPr>
      <w:sz w:val="16"/>
      <w:szCs w:val="16"/>
    </w:rPr>
  </w:style>
  <w:style w:type="paragraph" w:styleId="CommentText">
    <w:name w:val="annotation text"/>
    <w:basedOn w:val="Normal"/>
    <w:link w:val="CommentTextChar"/>
    <w:uiPriority w:val="99"/>
    <w:unhideWhenUsed/>
    <w:rsid w:val="00500470"/>
    <w:pPr>
      <w:spacing w:line="240" w:lineRule="auto"/>
    </w:pPr>
    <w:rPr>
      <w:sz w:val="20"/>
      <w:szCs w:val="20"/>
    </w:rPr>
  </w:style>
  <w:style w:type="character" w:customStyle="1" w:styleId="CommentTextChar">
    <w:name w:val="Comment Text Char"/>
    <w:basedOn w:val="DefaultParagraphFont"/>
    <w:link w:val="CommentText"/>
    <w:uiPriority w:val="99"/>
    <w:rsid w:val="00500470"/>
    <w:rPr>
      <w:sz w:val="20"/>
      <w:szCs w:val="20"/>
    </w:rPr>
  </w:style>
  <w:style w:type="paragraph" w:styleId="CommentSubject">
    <w:name w:val="annotation subject"/>
    <w:basedOn w:val="CommentText"/>
    <w:next w:val="CommentText"/>
    <w:link w:val="CommentSubjectChar"/>
    <w:uiPriority w:val="99"/>
    <w:semiHidden/>
    <w:unhideWhenUsed/>
    <w:rsid w:val="00500470"/>
    <w:rPr>
      <w:b/>
      <w:bCs/>
    </w:rPr>
  </w:style>
  <w:style w:type="character" w:customStyle="1" w:styleId="CommentSubjectChar">
    <w:name w:val="Comment Subject Char"/>
    <w:basedOn w:val="CommentTextChar"/>
    <w:link w:val="CommentSubject"/>
    <w:uiPriority w:val="99"/>
    <w:semiHidden/>
    <w:rsid w:val="00500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Greenhalgh</dc:creator>
  <cp:keywords/>
  <dc:description/>
  <cp:lastModifiedBy>Frances Jones</cp:lastModifiedBy>
  <cp:revision>5</cp:revision>
  <cp:lastPrinted>2025-03-17T09:41:00Z</cp:lastPrinted>
  <dcterms:created xsi:type="dcterms:W3CDTF">2025-03-18T15:00:00Z</dcterms:created>
  <dcterms:modified xsi:type="dcterms:W3CDTF">2025-03-19T21:35:00Z</dcterms:modified>
</cp:coreProperties>
</file>